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5387"/>
        <w:gridCol w:w="1984"/>
      </w:tblGrid>
      <w:tr w:rsidR="0041512A" w14:paraId="4338C0EE" w14:textId="77777777" w:rsidTr="00536FD7">
        <w:tc>
          <w:tcPr>
            <w:tcW w:w="2263" w:type="dxa"/>
          </w:tcPr>
          <w:p w14:paraId="2092ABBB" w14:textId="7BCF15B0" w:rsidR="0041512A" w:rsidRDefault="00CE5906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"file:///C:\\Walter\\sportello%20unico\\Progetto%20PUC\\PROCEDIMENTI\\PROCEDIMENTI.docx" </w:instrText>
            </w:r>
            <w:r>
              <w:fldChar w:fldCharType="separate"/>
            </w:r>
            <w:r w:rsidR="00C12C3B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5D2E453" w14:textId="77777777" w:rsidR="0041512A" w:rsidRDefault="00E60E0A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Vidimazione registri</w:t>
            </w:r>
          </w:p>
        </w:tc>
        <w:tc>
          <w:tcPr>
            <w:tcW w:w="1984" w:type="dxa"/>
          </w:tcPr>
          <w:p w14:paraId="768E1140" w14:textId="0A658C07" w:rsidR="0041512A" w:rsidRPr="00EE5C68" w:rsidRDefault="00CE5906" w:rsidP="0041512A">
            <w:pPr>
              <w:spacing w:before="120" w:after="120"/>
              <w:jc w:val="center"/>
              <w:rPr>
                <w:b/>
                <w:bCs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DED2043" w14:textId="77777777" w:rsidTr="00536FD7">
        <w:tc>
          <w:tcPr>
            <w:tcW w:w="9634" w:type="dxa"/>
            <w:gridSpan w:val="3"/>
          </w:tcPr>
          <w:p w14:paraId="734E4DE3" w14:textId="754EE5CA" w:rsidR="00A81D46" w:rsidRPr="00F361AC" w:rsidRDefault="00F361AC" w:rsidP="00A81D46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361AC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E0EFF18" w14:textId="77777777" w:rsidR="00E60E0A" w:rsidRPr="00107929" w:rsidRDefault="00E60E0A" w:rsidP="00E60E0A">
            <w:pPr>
              <w:spacing w:after="120"/>
              <w:ind w:left="17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lo svolgimento di alcune attività il </w:t>
            </w:r>
            <w:r w:rsidRPr="00107929">
              <w:rPr>
                <w:color w:val="auto"/>
                <w:sz w:val="20"/>
                <w:szCs w:val="20"/>
                <w:u w:val="none"/>
              </w:rPr>
              <w:t xml:space="preserve">TULPS e relativo regolamento di esecuzione, </w:t>
            </w:r>
            <w:r w:rsidRPr="0010792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obbligano a tenere </w:t>
            </w:r>
            <w:r w:rsidRPr="00107929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registri </w:t>
            </w:r>
            <w:r w:rsidRPr="0010792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e/o </w:t>
            </w:r>
            <w:r w:rsidRPr="00107929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tariffari</w:t>
            </w:r>
            <w:r w:rsidRPr="0010792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05CF87C" w14:textId="77777777" w:rsidR="00E60E0A" w:rsidRPr="00107929" w:rsidRDefault="00E60E0A" w:rsidP="00E60E0A">
            <w:pPr>
              <w:ind w:left="17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Alcune competenze per la vidimazione dei registri e tariffari sono state trasferite ai Comuni (articolo 163, comma 2, lettera “d” del </w:t>
            </w:r>
            <w:hyperlink r:id="rId6" w:tgtFrame="_blank" w:history="1">
              <w:r w:rsidRPr="00107929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Decreto Legislativo 31/03/1998, n. 112</w:t>
              </w:r>
            </w:hyperlink>
            <w:r w:rsidRPr="0010792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). Tra essi ci sono:</w:t>
            </w:r>
          </w:p>
          <w:p w14:paraId="49B592CD" w14:textId="77777777" w:rsidR="00E60E0A" w:rsidRPr="00107929" w:rsidRDefault="00E60E0A" w:rsidP="00E60E0A">
            <w:pPr>
              <w:numPr>
                <w:ilvl w:val="0"/>
                <w:numId w:val="25"/>
              </w:numPr>
              <w:ind w:left="599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registro degli affari giornalieri per agenzie di affari</w:t>
            </w:r>
          </w:p>
          <w:p w14:paraId="55CD8F93" w14:textId="77777777" w:rsidR="00E60E0A" w:rsidRPr="00107929" w:rsidRDefault="00E60E0A" w:rsidP="00E60E0A">
            <w:pPr>
              <w:numPr>
                <w:ilvl w:val="0"/>
                <w:numId w:val="25"/>
              </w:numPr>
              <w:ind w:left="599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tariffario delle prestazioni per agenzie di affari</w:t>
            </w:r>
          </w:p>
          <w:p w14:paraId="4A09D0B8" w14:textId="77777777" w:rsidR="00E60E0A" w:rsidRPr="00107929" w:rsidRDefault="00E60E0A" w:rsidP="00E60E0A">
            <w:pPr>
              <w:numPr>
                <w:ilvl w:val="0"/>
                <w:numId w:val="25"/>
              </w:numPr>
              <w:ind w:left="599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registro dei beni antichi di pregio e preziosi</w:t>
            </w:r>
          </w:p>
          <w:p w14:paraId="75990645" w14:textId="77777777" w:rsidR="00E60E0A" w:rsidRPr="00107929" w:rsidRDefault="00E60E0A" w:rsidP="00E60E0A">
            <w:pPr>
              <w:numPr>
                <w:ilvl w:val="0"/>
                <w:numId w:val="25"/>
              </w:numPr>
              <w:ind w:left="599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registro entrata e uscita sostanze stupefacenti</w:t>
            </w:r>
          </w:p>
          <w:p w14:paraId="0A9286B2" w14:textId="77777777" w:rsidR="00E60E0A" w:rsidRPr="00107929" w:rsidRDefault="00E60E0A" w:rsidP="00E60E0A">
            <w:pPr>
              <w:numPr>
                <w:ilvl w:val="0"/>
                <w:numId w:val="25"/>
              </w:numPr>
              <w:ind w:left="599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</w:pPr>
            <w:r w:rsidRPr="00107929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registro dei prodotti vitivinicoli previsti nel settore vitivinicolo.</w:t>
            </w:r>
          </w:p>
          <w:p w14:paraId="3246176F" w14:textId="77777777" w:rsidR="00536FD7" w:rsidRPr="00106174" w:rsidRDefault="00536FD7" w:rsidP="00536FD7">
            <w:pPr>
              <w:ind w:left="174"/>
              <w:rPr>
                <w:b/>
                <w:color w:val="C00000"/>
                <w:u w:val="none"/>
              </w:rPr>
            </w:pPr>
          </w:p>
          <w:p w14:paraId="45FDBCB7" w14:textId="77777777" w:rsidR="00E60E0A" w:rsidRPr="00106174" w:rsidRDefault="00E60E0A" w:rsidP="00E60E0A">
            <w:pPr>
              <w:spacing w:after="120"/>
              <w:ind w:left="174"/>
              <w:jc w:val="both"/>
              <w:rPr>
                <w:b/>
                <w:color w:val="C00000"/>
                <w:u w:val="none"/>
              </w:rPr>
            </w:pPr>
            <w:r w:rsidRPr="00106174">
              <w:rPr>
                <w:rStyle w:val="Collegamentoipertestuale"/>
                <w:b/>
                <w:color w:val="C00000"/>
                <w:u w:val="none"/>
              </w:rPr>
              <w:t>Esenzione imposta di bollo per i registri di Pubblica Sicurezza</w:t>
            </w:r>
          </w:p>
          <w:p w14:paraId="323D8595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Il Ministero dell’Interno ha chiarito che i registri elencati non sono compresi tra quelli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dell'articolo 2215 del "</w:t>
            </w:r>
            <w:r w:rsidRPr="00E60E0A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Codice civile</w:t>
            </w:r>
            <w:r w:rsidRPr="00E60E0A">
              <w:rPr>
                <w:color w:val="auto"/>
                <w:sz w:val="20"/>
                <w:szCs w:val="20"/>
                <w:u w:val="none"/>
              </w:rPr>
              <w:t>", né tra quelli dell'articolo 16 della tariffa allegata al DPR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n. 642/1982.</w:t>
            </w:r>
          </w:p>
          <w:p w14:paraId="7D3A7B71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L'Agenzia delle Entrate afferma inoltre che i registri descritti nell’articolo 35 e nell’articolo 55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del Regio Decreto 18/06/1931, n. 773 "</w:t>
            </w:r>
            <w:r w:rsidRPr="00E60E0A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Testo unico delle leggi di pubblica sicurezza</w:t>
            </w:r>
            <w:r w:rsidRPr="00E60E0A">
              <w:rPr>
                <w:color w:val="auto"/>
                <w:sz w:val="20"/>
                <w:szCs w:val="20"/>
                <w:u w:val="none"/>
              </w:rPr>
              <w:t xml:space="preserve">", </w:t>
            </w:r>
            <w:r w:rsidRPr="00E60E0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non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sono soggetti a nessuna imposta </w:t>
            </w:r>
            <w:r w:rsidRPr="00E60E0A">
              <w:rPr>
                <w:color w:val="auto"/>
                <w:sz w:val="20"/>
                <w:szCs w:val="20"/>
                <w:u w:val="none"/>
              </w:rPr>
              <w:t>quando sono vidimati dall'autorità di pubblica sicurezza.</w:t>
            </w:r>
          </w:p>
          <w:p w14:paraId="479EA7D8" w14:textId="77777777" w:rsidR="00E60E0A" w:rsidRPr="00106174" w:rsidRDefault="00E60E0A" w:rsidP="00E60E0A">
            <w:pPr>
              <w:ind w:left="174"/>
              <w:jc w:val="both"/>
              <w:rPr>
                <w:rStyle w:val="Collegamentoipertestuale"/>
                <w:b/>
              </w:rPr>
            </w:pPr>
          </w:p>
          <w:p w14:paraId="2C99E4CF" w14:textId="77777777" w:rsidR="00E60E0A" w:rsidRPr="00106174" w:rsidRDefault="00E60E0A" w:rsidP="00E60E0A">
            <w:pPr>
              <w:spacing w:after="120"/>
              <w:ind w:left="174"/>
              <w:jc w:val="both"/>
              <w:rPr>
                <w:b/>
                <w:color w:val="C00000"/>
                <w:u w:val="none"/>
              </w:rPr>
            </w:pPr>
            <w:r w:rsidRPr="00106174">
              <w:rPr>
                <w:rStyle w:val="Collegamentoipertestuale"/>
                <w:b/>
                <w:color w:val="C00000"/>
                <w:u w:val="none"/>
              </w:rPr>
              <w:t>Vidimazione dei registri per stupefacenti</w:t>
            </w:r>
          </w:p>
          <w:p w14:paraId="26EB9CC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I registri di carico e scarico di sostanze stupefacenti sono divisi tra quelli previsti dall'articolo 60 e quelli previsti dall'articolo 42 del Decreto del Presidente della Repubblica 09/10/1990, n. 309. I primi devono essere vidimati e firmati dall'ATS (ex ASL), i secondi devono essere vidimati e firmati dall'autorità sanitaria competente, quindi dal Sindaco</w:t>
            </w:r>
          </w:p>
          <w:p w14:paraId="37EA9EB7" w14:textId="77777777" w:rsidR="00E60E0A" w:rsidRPr="00106174" w:rsidRDefault="00E60E0A" w:rsidP="00E60E0A">
            <w:pPr>
              <w:ind w:left="174"/>
              <w:jc w:val="both"/>
              <w:rPr>
                <w:rStyle w:val="Collegamentoipertestuale"/>
                <w:rFonts w:eastAsia="Times New Roman"/>
                <w:b/>
                <w:lang w:eastAsia="it-IT"/>
              </w:rPr>
            </w:pPr>
          </w:p>
          <w:p w14:paraId="3ED7A833" w14:textId="77777777" w:rsidR="00E60E0A" w:rsidRPr="00106174" w:rsidRDefault="00E60E0A" w:rsidP="00E60E0A">
            <w:pPr>
              <w:spacing w:after="120"/>
              <w:ind w:left="17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106174">
              <w:rPr>
                <w:rStyle w:val="Collegamentoipertestuale"/>
                <w:rFonts w:eastAsia="Times New Roman"/>
                <w:b/>
                <w:color w:val="C00000"/>
                <w:u w:val="none"/>
                <w:lang w:eastAsia="it-IT"/>
              </w:rPr>
              <w:t>Vidimazione dei registri delle sostanze zuccherine</w:t>
            </w:r>
          </w:p>
          <w:p w14:paraId="725C7E92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I produttori, gli importatori e i grossisti di saccarosio (escluso lo zucchero a velo), glucosio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 xml:space="preserve">e </w:t>
            </w:r>
            <w:proofErr w:type="spellStart"/>
            <w:r w:rsidRPr="00E60E0A">
              <w:rPr>
                <w:color w:val="auto"/>
                <w:sz w:val="20"/>
                <w:szCs w:val="20"/>
                <w:u w:val="none"/>
              </w:rPr>
              <w:t>isoglucosio</w:t>
            </w:r>
            <w:proofErr w:type="spellEnd"/>
            <w:r w:rsidRPr="00E60E0A">
              <w:rPr>
                <w:color w:val="auto"/>
                <w:sz w:val="20"/>
                <w:szCs w:val="20"/>
                <w:u w:val="none"/>
              </w:rPr>
              <w:t xml:space="preserve"> anche in soluzione, sono obbligati a </w:t>
            </w:r>
            <w:r w:rsidRPr="00E60E0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tenere un registro </w:t>
            </w:r>
            <w:r w:rsidRPr="00E60E0A">
              <w:rPr>
                <w:color w:val="auto"/>
                <w:sz w:val="20"/>
                <w:szCs w:val="20"/>
                <w:u w:val="none"/>
              </w:rPr>
              <w:t>di carico e scarico.</w:t>
            </w:r>
          </w:p>
          <w:p w14:paraId="6170A345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Anche gli utilizzatori dei prodotti sono obbligati a tenere un registro di carico e scarico, dove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devono annotare giornalmente i quantitativi di sostanze zuccherine usate (articolo 28 della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Legge 20/02/2006, n. 82).</w:t>
            </w:r>
          </w:p>
          <w:p w14:paraId="39346E33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Non sono obbligati a tenere il registro:</w:t>
            </w:r>
          </w:p>
          <w:p w14:paraId="2B747617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i commercianti al dettaglio</w:t>
            </w:r>
          </w:p>
          <w:p w14:paraId="2DE328D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gli utilizzatori che somministrano al pubblico</w:t>
            </w:r>
          </w:p>
          <w:p w14:paraId="7EA2D42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chi produce alimenti in laboratori artigiani o in laboratori annessi a esercizi di vendita 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di somministrazione</w:t>
            </w:r>
          </w:p>
          <w:p w14:paraId="47B2261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chi possiede un registro di carico e scarico delle materie prime vidimato dall'ufficio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periferico dell'Ispettorato Centrale Repressione Frodi o dall'ufficio dell'Agenzia delle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Dogane.</w:t>
            </w:r>
          </w:p>
          <w:p w14:paraId="186C7B01" w14:textId="77777777" w:rsidR="00E60E0A" w:rsidRPr="00106174" w:rsidRDefault="00E60E0A" w:rsidP="00E60E0A">
            <w:pPr>
              <w:ind w:left="174"/>
              <w:jc w:val="both"/>
              <w:rPr>
                <w:rStyle w:val="Collegamentoipertestuale"/>
                <w:rFonts w:eastAsia="Times New Roman"/>
                <w:b/>
                <w:lang w:eastAsia="it-IT"/>
              </w:rPr>
            </w:pPr>
          </w:p>
          <w:p w14:paraId="14B79AC0" w14:textId="77777777" w:rsidR="00E60E0A" w:rsidRPr="00106174" w:rsidRDefault="00E60E0A" w:rsidP="00E60E0A">
            <w:pPr>
              <w:spacing w:after="120"/>
              <w:ind w:left="17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106174">
              <w:rPr>
                <w:rStyle w:val="Collegamentoipertestuale"/>
                <w:rFonts w:eastAsia="Times New Roman"/>
                <w:b/>
                <w:color w:val="C00000"/>
                <w:u w:val="none"/>
                <w:lang w:eastAsia="it-IT"/>
              </w:rPr>
              <w:t>Vidimazione dei registri di prodotti vitivinicoli</w:t>
            </w:r>
          </w:p>
          <w:p w14:paraId="62B872DE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La vidimazione dei registri del settore vitivinicolo può essere effettuata dall'Ispettorato centrale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Repressione Frodi oppure dal Comune dove ha sede lo stabilimento o il deposito dei prodotti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vitivinicoli (Regolamento Comunitario 26/07/1993, n. 2238/93 modificato dal Regolamento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Comunitario 08/12/1993, n. 301/29).</w:t>
            </w:r>
          </w:p>
          <w:p w14:paraId="591B948D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 xml:space="preserve">La vidimazione di alcuni registri può essere richiesta al Comune solamente da parte di società </w:t>
            </w:r>
            <w:r w:rsidRPr="00E60E0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già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in possesso del numero di codice </w:t>
            </w:r>
            <w:r w:rsidRPr="00E60E0A">
              <w:rPr>
                <w:color w:val="auto"/>
                <w:sz w:val="20"/>
                <w:szCs w:val="20"/>
                <w:u w:val="none"/>
              </w:rPr>
              <w:t>(</w:t>
            </w:r>
            <w:r w:rsidRPr="00E60E0A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numero di registro di imbottigliamento </w:t>
            </w:r>
            <w:r w:rsidRPr="00E60E0A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Pr="00E60E0A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ICRF</w:t>
            </w:r>
            <w:r w:rsidRPr="00E60E0A">
              <w:rPr>
                <w:color w:val="auto"/>
                <w:sz w:val="20"/>
                <w:szCs w:val="20"/>
                <w:u w:val="none"/>
              </w:rPr>
              <w:t>) attribuito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E60E0A">
              <w:rPr>
                <w:color w:val="auto"/>
                <w:sz w:val="20"/>
                <w:szCs w:val="20"/>
                <w:u w:val="none"/>
              </w:rPr>
              <w:t>dall'Ispettorato centrale Repressione Frodi.</w:t>
            </w:r>
          </w:p>
          <w:p w14:paraId="121EC043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color w:val="auto"/>
                <w:sz w:val="20"/>
                <w:szCs w:val="20"/>
                <w:u w:val="none"/>
              </w:rPr>
              <w:t>Tra essi ci sono:</w:t>
            </w:r>
          </w:p>
          <w:p w14:paraId="40C2986A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CS - Carico e scarico prodotti e sottoprodotti vitivinicoli</w:t>
            </w:r>
          </w:p>
          <w:p w14:paraId="045DFEB1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VDOC - Produzione uno o più vini DOC</w:t>
            </w:r>
          </w:p>
          <w:p w14:paraId="25007A2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DOCC - Registro vari vino DOC commercializzazione</w:t>
            </w:r>
          </w:p>
          <w:p w14:paraId="1E5B30AB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LVSN - Carico e scarico elaborazione vini spumanti</w:t>
            </w:r>
          </w:p>
          <w:p w14:paraId="2B66C552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CSSC - Carico e scarico elaborazione vini spumanti gassificati</w:t>
            </w:r>
          </w:p>
          <w:p w14:paraId="20ACB348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LVFN - Carico e scarico elaborazione vini frizzanti</w:t>
            </w:r>
          </w:p>
          <w:p w14:paraId="1C66987E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LVFG - Carico e scarico vini frizzanti gassificati</w:t>
            </w:r>
          </w:p>
          <w:p w14:paraId="26F4CA41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TRVA - Carico e scarico elaborazione vini aromatizzati</w:t>
            </w:r>
          </w:p>
          <w:p w14:paraId="17FFE71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lastRenderedPageBreak/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PLIQ - Elaborazione vini liquorosi</w:t>
            </w:r>
          </w:p>
          <w:p w14:paraId="4F51687F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PROA - Vini liquorosi</w:t>
            </w:r>
          </w:p>
          <w:p w14:paraId="0122B5BE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PLMC - Carico e scarico elaborazione mosti concentrati</w:t>
            </w:r>
          </w:p>
          <w:p w14:paraId="2BA2F931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BABV - Carico e scarico bevande alternative a base di vino</w:t>
            </w:r>
          </w:p>
          <w:p w14:paraId="263E8500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EVA - Elaborazione vini alcolizzati</w:t>
            </w:r>
          </w:p>
          <w:p w14:paraId="478118D2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PLSU - Carico e scarico elaborazione succhi d'uva</w:t>
            </w:r>
          </w:p>
          <w:p w14:paraId="3EA1FAE1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IMBV - Imbottigliamento vini da tavola a DOC</w:t>
            </w:r>
          </w:p>
          <w:p w14:paraId="67226FF0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IMBF - Imbottigliamento bevande di fantasia a base di vino</w:t>
            </w:r>
          </w:p>
          <w:p w14:paraId="2F2D411A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TGLI - Taglio dei vini da tavola</w:t>
            </w:r>
          </w:p>
          <w:p w14:paraId="76274009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TRFC - Trattamento del ferrocianuro da potassio</w:t>
            </w:r>
          </w:p>
          <w:p w14:paraId="5AD07EF2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PDEN - Carico e scarico prodotti enologici</w:t>
            </w:r>
          </w:p>
          <w:p w14:paraId="0BA2F67D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DOLC - Dolcificazione</w:t>
            </w:r>
          </w:p>
          <w:p w14:paraId="05D6D475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ACID - Acidificazione</w:t>
            </w:r>
          </w:p>
          <w:p w14:paraId="1DA14514" w14:textId="77777777" w:rsidR="00E60E0A" w:rsidRPr="00E60E0A" w:rsidRDefault="00E60E0A" w:rsidP="00E60E0A">
            <w:pPr>
              <w:autoSpaceDE w:val="0"/>
              <w:autoSpaceDN w:val="0"/>
              <w:adjustRightInd w:val="0"/>
              <w:ind w:left="174" w:right="318"/>
              <w:rPr>
                <w:color w:val="auto"/>
                <w:sz w:val="20"/>
                <w:szCs w:val="20"/>
                <w:u w:val="none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DISA - Disacidificazione</w:t>
            </w:r>
          </w:p>
          <w:p w14:paraId="4EE3C910" w14:textId="77777777" w:rsidR="00E60E0A" w:rsidRPr="00E60E0A" w:rsidRDefault="00E60E0A" w:rsidP="00106174">
            <w:pPr>
              <w:pStyle w:val="Paragrafoelenco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E60E0A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E60E0A">
              <w:rPr>
                <w:color w:val="auto"/>
                <w:sz w:val="20"/>
                <w:szCs w:val="20"/>
                <w:u w:val="none"/>
              </w:rPr>
              <w:t>ARR - Arricchimento vini da tavola e DOC.</w:t>
            </w:r>
          </w:p>
          <w:p w14:paraId="7275D38E" w14:textId="77777777" w:rsidR="00106174" w:rsidRPr="00106174" w:rsidRDefault="00106174" w:rsidP="00106174">
            <w:pPr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13A53884" w14:textId="51CE4D3C" w:rsidR="00E60E0A" w:rsidRPr="00106174" w:rsidRDefault="00E60E0A" w:rsidP="0033001E">
            <w:pPr>
              <w:spacing w:after="12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106174">
              <w:rPr>
                <w:rFonts w:eastAsia="Times New Roman"/>
                <w:b/>
                <w:color w:val="C00000"/>
                <w:u w:val="none"/>
                <w:lang w:eastAsia="it-IT"/>
              </w:rPr>
              <w:t>Vidimazione registri e tariffari</w:t>
            </w:r>
          </w:p>
          <w:p w14:paraId="4475E14A" w14:textId="77777777" w:rsidR="00E60E0A" w:rsidRPr="00E336F7" w:rsidRDefault="00E60E0A" w:rsidP="0033001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336F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far vidimare il registro o il tariffario, il richiedente deve presentarsi al SUAP con apposita richiesta di vidimazione portando il registro e/o il tariffario unitamente ad un proprio documento d’identità.</w:t>
            </w:r>
          </w:p>
          <w:p w14:paraId="7950BCB4" w14:textId="77777777" w:rsidR="00E60E0A" w:rsidRPr="00E336F7" w:rsidRDefault="00E60E0A" w:rsidP="0033001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336F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SUAP verifica la rispondenza dell’attività che fa uso dei registri e tariffari e procede all’immediata vidimazione degli stessi.</w:t>
            </w:r>
          </w:p>
          <w:p w14:paraId="29644A04" w14:textId="77777777" w:rsidR="00E336F7" w:rsidRPr="00106174" w:rsidRDefault="00E336F7" w:rsidP="0033001E">
            <w:pPr>
              <w:ind w:left="164"/>
              <w:jc w:val="both"/>
              <w:rPr>
                <w:rFonts w:eastAsia="Times New Roman"/>
                <w:b/>
                <w:color w:val="C00000"/>
                <w:lang w:eastAsia="it-IT"/>
              </w:rPr>
            </w:pPr>
          </w:p>
          <w:p w14:paraId="0778426A" w14:textId="77777777" w:rsidR="00E60E0A" w:rsidRPr="00106174" w:rsidRDefault="00E60E0A" w:rsidP="0033001E">
            <w:pPr>
              <w:spacing w:after="120"/>
              <w:ind w:left="164"/>
              <w:jc w:val="both"/>
              <w:rPr>
                <w:rFonts w:eastAsia="Times New Roman"/>
                <w:color w:val="C00000"/>
                <w:u w:val="none"/>
                <w:lang w:eastAsia="it-IT"/>
              </w:rPr>
            </w:pPr>
            <w:r w:rsidRPr="00106174">
              <w:rPr>
                <w:rFonts w:eastAsia="Times New Roman"/>
                <w:b/>
                <w:color w:val="C00000"/>
                <w:u w:val="none"/>
                <w:lang w:eastAsia="it-IT"/>
              </w:rPr>
              <w:t>Auto vidimazione</w:t>
            </w:r>
          </w:p>
          <w:p w14:paraId="2B989082" w14:textId="77777777" w:rsidR="00E60E0A" w:rsidRPr="00E336F7" w:rsidRDefault="00E60E0A" w:rsidP="0033001E">
            <w:pPr>
              <w:ind w:left="16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336F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autocertificare la corretta auto vidimazione del registro o del tariffario, il richiedente deve presentare una </w:t>
            </w:r>
            <w:r w:rsidRPr="00E336F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comunicazione</w:t>
            </w:r>
            <w:r w:rsidRPr="00E336F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 SUAP allegando un qualsiasi documento sul quale è stato apposto il </w:t>
            </w:r>
            <w:r w:rsidRPr="00E336F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timbro societario</w:t>
            </w:r>
            <w:r w:rsidRPr="00E336F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utilizzato. È inoltre necessario annullare una marca da bollo da 16 € da apporre sul tariffario in caso di auto vidimazione.</w:t>
            </w:r>
          </w:p>
          <w:p w14:paraId="16ECA751" w14:textId="77777777" w:rsidR="00E60E0A" w:rsidRDefault="00E60E0A" w:rsidP="0033001E">
            <w:pPr>
              <w:ind w:left="164"/>
            </w:pPr>
          </w:p>
          <w:p w14:paraId="0FDB8AF9" w14:textId="77777777" w:rsidR="00E60E0A" w:rsidRPr="00106174" w:rsidRDefault="00E60E0A" w:rsidP="0033001E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106174">
              <w:rPr>
                <w:b/>
                <w:color w:val="C00000"/>
                <w:u w:val="none"/>
              </w:rPr>
              <w:t>Modulistica</w:t>
            </w:r>
          </w:p>
          <w:p w14:paraId="746F1CF0" w14:textId="38B5F8F3" w:rsidR="00E60E0A" w:rsidRPr="005E61E9" w:rsidRDefault="00CE5906" w:rsidP="0033001E">
            <w:pPr>
              <w:spacing w:after="120"/>
              <w:ind w:left="164"/>
              <w:rPr>
                <w:b/>
                <w:color w:val="0000FF"/>
                <w:sz w:val="20"/>
                <w:szCs w:val="20"/>
              </w:rPr>
            </w:pPr>
            <w:hyperlink r:id="rId7" w:history="1">
              <w:r w:rsidR="00E60E0A" w:rsidRPr="005E61E9">
                <w:rPr>
                  <w:rStyle w:val="Collegamentoipertestuale"/>
                  <w:b/>
                  <w:sz w:val="20"/>
                  <w:szCs w:val="20"/>
                </w:rPr>
                <w:t>Vidimazione registri e</w:t>
              </w:r>
              <w:r w:rsidR="00E60E0A" w:rsidRPr="005E61E9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E60E0A" w:rsidRPr="005E61E9">
                <w:rPr>
                  <w:rStyle w:val="Collegamentoipertestuale"/>
                  <w:b/>
                  <w:sz w:val="20"/>
                  <w:szCs w:val="20"/>
                </w:rPr>
                <w:t>tariffari</w:t>
              </w:r>
            </w:hyperlink>
          </w:p>
          <w:p w14:paraId="65B62303" w14:textId="61C34DC1" w:rsidR="00E60E0A" w:rsidRPr="005E61E9" w:rsidRDefault="00CE5906" w:rsidP="00106174">
            <w:pPr>
              <w:ind w:left="164"/>
              <w:rPr>
                <w:i/>
                <w:sz w:val="20"/>
                <w:szCs w:val="20"/>
              </w:rPr>
            </w:pPr>
            <w:hyperlink r:id="rId8" w:history="1">
              <w:r w:rsidR="00E60E0A" w:rsidRPr="005E61E9">
                <w:rPr>
                  <w:rStyle w:val="Collegamentoipertestuale"/>
                  <w:b/>
                  <w:sz w:val="20"/>
                  <w:szCs w:val="20"/>
                </w:rPr>
                <w:t>Auto</w:t>
              </w:r>
              <w:r w:rsidR="0011784F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E60E0A" w:rsidRPr="005E61E9">
                <w:rPr>
                  <w:rStyle w:val="Collegamentoipertestuale"/>
                  <w:b/>
                  <w:sz w:val="20"/>
                  <w:szCs w:val="20"/>
                </w:rPr>
                <w:t>vidimazione registri e tariffari</w:t>
              </w:r>
            </w:hyperlink>
            <w:r w:rsidR="00E60E0A">
              <w:rPr>
                <w:b/>
                <w:color w:val="0000FF"/>
                <w:sz w:val="20"/>
                <w:szCs w:val="20"/>
              </w:rPr>
              <w:t xml:space="preserve">  </w:t>
            </w:r>
            <w:r w:rsidR="00E60E0A">
              <w:rPr>
                <w:i/>
                <w:sz w:val="20"/>
                <w:szCs w:val="20"/>
              </w:rPr>
              <w:t>(allegare copia del timbro di vidimazione)</w:t>
            </w:r>
          </w:p>
          <w:p w14:paraId="1986432D" w14:textId="77777777" w:rsidR="00E60E0A" w:rsidRPr="00106174" w:rsidRDefault="00E60E0A" w:rsidP="00C95280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</w:rPr>
            </w:pPr>
          </w:p>
          <w:p w14:paraId="065C55EF" w14:textId="7069DC0C" w:rsidR="00106174" w:rsidRPr="00A960D3" w:rsidRDefault="00106174" w:rsidP="0010617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02F9C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03B961D" w14:textId="6FC71CD7" w:rsidR="00106174" w:rsidRDefault="00106174" w:rsidP="00106174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</w:p>
          <w:p w14:paraId="51A049E8" w14:textId="20AED2EF" w:rsidR="00FD5B75" w:rsidRPr="00945B26" w:rsidRDefault="00CE5906" w:rsidP="00FD5B7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4A3C01" w:rsidRPr="00FD5B75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A3C01" w:rsidRPr="00FD5B75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A3C0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A3C0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FD5B75" w:rsidRPr="00C12C3B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FD5B75" w:rsidRPr="00C12C3B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FD5B75" w:rsidRPr="00C12C3B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FD5B75" w:rsidRPr="00945B26">
              <w:rPr>
                <w:color w:val="0000FF"/>
                <w:sz w:val="20"/>
                <w:szCs w:val="20"/>
              </w:rPr>
              <w:t xml:space="preserve"> </w:t>
            </w:r>
            <w:r w:rsidR="00FD5B75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FD5B75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ECBC9B9" w14:textId="70902DEE" w:rsidR="00C95280" w:rsidRDefault="00C95280" w:rsidP="00C9528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</w:p>
          <w:p w14:paraId="46D2F83B" w14:textId="77777777" w:rsidR="00276654" w:rsidRPr="00FD5B75" w:rsidRDefault="004A3C01" w:rsidP="00E60E0A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</w:rPr>
            </w:pPr>
            <w:r w:rsidRPr="00FD5B75">
              <w:rPr>
                <w:b/>
                <w:color w:val="C00000"/>
                <w:u w:val="none"/>
              </w:rPr>
              <w:t>Note:</w:t>
            </w:r>
            <w:r w:rsidR="00977047" w:rsidRPr="00FD5B75">
              <w:rPr>
                <w:b/>
                <w:color w:val="C00000"/>
                <w:u w:val="none"/>
              </w:rPr>
              <w:t xml:space="preserve">  </w:t>
            </w:r>
          </w:p>
          <w:p w14:paraId="2689C23B" w14:textId="77777777" w:rsidR="00E60E0A" w:rsidRPr="0041512A" w:rsidRDefault="00E60E0A" w:rsidP="00E60E0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5CFB611C" w14:textId="77777777" w:rsidR="00342D58" w:rsidRDefault="00342D58">
      <w:pPr>
        <w:rPr>
          <w:b/>
        </w:rPr>
      </w:pPr>
    </w:p>
    <w:p w14:paraId="32C966E9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D9C"/>
    <w:multiLevelType w:val="hybridMultilevel"/>
    <w:tmpl w:val="7F88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14A4D"/>
    <w:multiLevelType w:val="hybridMultilevel"/>
    <w:tmpl w:val="5E0C5B3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7BF1E80"/>
    <w:multiLevelType w:val="hybridMultilevel"/>
    <w:tmpl w:val="A08A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2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24"/>
  </w:num>
  <w:num w:numId="18">
    <w:abstractNumId w:val="14"/>
  </w:num>
  <w:num w:numId="19">
    <w:abstractNumId w:val="4"/>
  </w:num>
  <w:num w:numId="20">
    <w:abstractNumId w:val="16"/>
  </w:num>
  <w:num w:numId="21">
    <w:abstractNumId w:val="17"/>
  </w:num>
  <w:num w:numId="22">
    <w:abstractNumId w:val="21"/>
  </w:num>
  <w:num w:numId="23">
    <w:abstractNumId w:val="3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4B7E"/>
    <w:rsid w:val="000F3ADF"/>
    <w:rsid w:val="00106174"/>
    <w:rsid w:val="00112873"/>
    <w:rsid w:val="0011784F"/>
    <w:rsid w:val="00117F1E"/>
    <w:rsid w:val="0012159E"/>
    <w:rsid w:val="001B4E77"/>
    <w:rsid w:val="001D73AE"/>
    <w:rsid w:val="002003E5"/>
    <w:rsid w:val="00202F9C"/>
    <w:rsid w:val="00215D52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31523A"/>
    <w:rsid w:val="0033001E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36FD7"/>
    <w:rsid w:val="00587F68"/>
    <w:rsid w:val="005930C1"/>
    <w:rsid w:val="005A769A"/>
    <w:rsid w:val="005C01FD"/>
    <w:rsid w:val="005C3771"/>
    <w:rsid w:val="005C68B2"/>
    <w:rsid w:val="005C720B"/>
    <w:rsid w:val="005E5880"/>
    <w:rsid w:val="005F1CCE"/>
    <w:rsid w:val="005F21E3"/>
    <w:rsid w:val="0060265B"/>
    <w:rsid w:val="00621A5C"/>
    <w:rsid w:val="00621E64"/>
    <w:rsid w:val="006230AD"/>
    <w:rsid w:val="00640813"/>
    <w:rsid w:val="00651349"/>
    <w:rsid w:val="00651378"/>
    <w:rsid w:val="00677516"/>
    <w:rsid w:val="00692827"/>
    <w:rsid w:val="00694BB5"/>
    <w:rsid w:val="00697CB5"/>
    <w:rsid w:val="006B29D2"/>
    <w:rsid w:val="006B2EE0"/>
    <w:rsid w:val="006B3A13"/>
    <w:rsid w:val="006C7151"/>
    <w:rsid w:val="006E08B5"/>
    <w:rsid w:val="006E2A43"/>
    <w:rsid w:val="006F05DD"/>
    <w:rsid w:val="00705665"/>
    <w:rsid w:val="00714EBD"/>
    <w:rsid w:val="007361DA"/>
    <w:rsid w:val="00737DA2"/>
    <w:rsid w:val="00746376"/>
    <w:rsid w:val="00757EC8"/>
    <w:rsid w:val="00763AB7"/>
    <w:rsid w:val="00764B7D"/>
    <w:rsid w:val="00774441"/>
    <w:rsid w:val="007D29FA"/>
    <w:rsid w:val="0080569E"/>
    <w:rsid w:val="0082478D"/>
    <w:rsid w:val="008665DB"/>
    <w:rsid w:val="00871E89"/>
    <w:rsid w:val="00872D0F"/>
    <w:rsid w:val="008756FA"/>
    <w:rsid w:val="00875A8F"/>
    <w:rsid w:val="00897F79"/>
    <w:rsid w:val="008F77D3"/>
    <w:rsid w:val="009025A0"/>
    <w:rsid w:val="0090382A"/>
    <w:rsid w:val="00932258"/>
    <w:rsid w:val="00945B26"/>
    <w:rsid w:val="00961EA0"/>
    <w:rsid w:val="0097516F"/>
    <w:rsid w:val="00977047"/>
    <w:rsid w:val="009A4645"/>
    <w:rsid w:val="009A476D"/>
    <w:rsid w:val="009B07B1"/>
    <w:rsid w:val="009C0F33"/>
    <w:rsid w:val="009D00A5"/>
    <w:rsid w:val="009F62D7"/>
    <w:rsid w:val="009F7FCC"/>
    <w:rsid w:val="00A06B50"/>
    <w:rsid w:val="00A123BB"/>
    <w:rsid w:val="00A5440D"/>
    <w:rsid w:val="00A602F5"/>
    <w:rsid w:val="00A81D46"/>
    <w:rsid w:val="00A84893"/>
    <w:rsid w:val="00B0731C"/>
    <w:rsid w:val="00B66F7C"/>
    <w:rsid w:val="00B74DCB"/>
    <w:rsid w:val="00BB2167"/>
    <w:rsid w:val="00BC019B"/>
    <w:rsid w:val="00BF42AE"/>
    <w:rsid w:val="00BF5221"/>
    <w:rsid w:val="00BF67A8"/>
    <w:rsid w:val="00C12C3B"/>
    <w:rsid w:val="00C459E8"/>
    <w:rsid w:val="00C75D34"/>
    <w:rsid w:val="00C9233E"/>
    <w:rsid w:val="00C92D90"/>
    <w:rsid w:val="00C95280"/>
    <w:rsid w:val="00CB4FB4"/>
    <w:rsid w:val="00CD592E"/>
    <w:rsid w:val="00CD7A44"/>
    <w:rsid w:val="00CE16FB"/>
    <w:rsid w:val="00CE5906"/>
    <w:rsid w:val="00CF2C56"/>
    <w:rsid w:val="00D02A9B"/>
    <w:rsid w:val="00D16B5E"/>
    <w:rsid w:val="00D46D3D"/>
    <w:rsid w:val="00D5625E"/>
    <w:rsid w:val="00D96248"/>
    <w:rsid w:val="00DC5DC3"/>
    <w:rsid w:val="00DD18A1"/>
    <w:rsid w:val="00DD2BE3"/>
    <w:rsid w:val="00DD6833"/>
    <w:rsid w:val="00DF0435"/>
    <w:rsid w:val="00E25843"/>
    <w:rsid w:val="00E336F7"/>
    <w:rsid w:val="00E60E0A"/>
    <w:rsid w:val="00E6197C"/>
    <w:rsid w:val="00E61C9E"/>
    <w:rsid w:val="00E660BB"/>
    <w:rsid w:val="00E96861"/>
    <w:rsid w:val="00EB1403"/>
    <w:rsid w:val="00EC548A"/>
    <w:rsid w:val="00ED5B66"/>
    <w:rsid w:val="00EE371A"/>
    <w:rsid w:val="00EE5C68"/>
    <w:rsid w:val="00F07CBF"/>
    <w:rsid w:val="00F2381A"/>
    <w:rsid w:val="00F312D0"/>
    <w:rsid w:val="00F33A15"/>
    <w:rsid w:val="00F361AC"/>
    <w:rsid w:val="00F70B11"/>
    <w:rsid w:val="00F724EE"/>
    <w:rsid w:val="00FD5B75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19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  <w:style w:type="paragraph" w:customStyle="1" w:styleId="ui-treenode-label1">
    <w:name w:val="ui-treenode-label1"/>
    <w:basedOn w:val="Normale"/>
    <w:rsid w:val="006B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ulistica/13PA%20Autovidimazioni%20registri.pdf" TargetMode="External"/><Relationship Id="rId3" Type="http://schemas.openxmlformats.org/officeDocument/2006/relationships/settings" Target="settings.xml"/><Relationship Id="rId7" Type="http://schemas.openxmlformats.org/officeDocument/2006/relationships/hyperlink" Target="Modulistica/12PA%20Vidimazioni%20registr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cenormativa.it/norma/urn%3Anir%3Astato%3Adecreto.legislativo%3A1998-03-31%3B112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../../TUR/Parte%205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5%20Procedimenti\Definizioni\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18</cp:revision>
  <dcterms:created xsi:type="dcterms:W3CDTF">2018-07-29T16:11:00Z</dcterms:created>
  <dcterms:modified xsi:type="dcterms:W3CDTF">2021-05-11T13:56:00Z</dcterms:modified>
</cp:coreProperties>
</file>